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drawing>
          <wp:inline xmlns:a="http://schemas.openxmlformats.org/drawingml/2006/main" xmlns:pic="http://schemas.openxmlformats.org/drawingml/2006/picture">
            <wp:extent cx="960120" cy="372647"/>
            <wp:docPr id="1" name="Picture 1" descr="EventSync Day-Of" title="EventSync Day-Of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ventsync-dayof-lockup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3726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80"/>
      </w:pPr>
      <w:r>
        <w:t>Day-Of Wedding Coordinator Checklist</w:t>
      </w:r>
    </w:p>
    <w:p>
      <w:pPr>
        <w:spacing w:after="180"/>
      </w:pPr>
      <w:r>
        <w:rPr>
          <w:color w:val="5B6475"/>
        </w:rPr>
        <w:t>Forty practical checks from final handoff through the next business day. Add your own due dates, owners, and confirmed details.</w:t>
      </w:r>
    </w:p>
    <w:p>
      <w:pPr>
        <w:spacing w:before="40" w:after="160" w:line="252" w:lineRule="auto"/>
        <w:ind w:left="144" w:right="144"/>
        <w:shd w:fill="FFF8EF"/>
        <w:pBdr>
          <w:left w:val="single" w:sz="18" w:color="C4956A"/>
        </w:pBdr>
      </w:pPr>
      <w:r>
        <w:rPr>
          <w:rFonts w:ascii="Arial" w:hAnsi="Arial"/>
          <w:b/>
          <w:sz w:val="18"/>
        </w:rPr>
        <w:t xml:space="preserve">Role boundary: </w:t>
      </w:r>
      <w:r>
        <w:t>This checklist organizes confirmed information. It does not create authority, replace vendor contracts, verify food-allergy safety, or substitute for an experienced professional when the venue, guest count, travel, cultural traditions, or production needs exceed a helper's experience.</w:t>
      </w:r>
    </w:p>
    <w:p>
      <w:pPr>
        <w:pStyle w:val="Heading1"/>
      </w:pPr>
      <w:r>
        <w:t>Four to two weeks before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"/>
        <w:gridCol w:w="1512"/>
        <w:gridCol w:w="5875"/>
        <w:gridCol w:w="2045"/>
      </w:tblGrid>
      <w:tr>
        <w:trPr>
          <w:tblHeader w:val="true"/>
        </w:trPr>
        <w:tc>
          <w:tcPr>
            <w:tcW w:type="dxa" w:w="691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Done</w:t>
            </w:r>
          </w:p>
        </w:tc>
        <w:tc>
          <w:tcPr>
            <w:tcW w:type="dxa" w:w="1512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When</w:t>
            </w:r>
          </w:p>
        </w:tc>
        <w:tc>
          <w:tcPr>
            <w:tcW w:type="dxa" w:w="5875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Task + confirmation note</w:t>
            </w:r>
          </w:p>
        </w:tc>
        <w:tc>
          <w:tcPr>
            <w:tcW w:type="dxa" w:w="2044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Owner</w:t>
            </w:r>
          </w:p>
        </w:tc>
      </w:tr>
      <w:tr>
        <w:trPr>
          <w:cantSplit/>
        </w:trPr>
        <w:tc>
          <w:tcPr>
            <w:tcW w:type="dxa" w:w="691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4 weeks before</w:t>
            </w:r>
          </w:p>
        </w:tc>
        <w:tc>
          <w:tcPr>
            <w:tcW w:type="dxa" w:w="5875"/>
            <w:vAlign w:val="top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Collect final contracts, arrival windows, and departure terms</w:t>
            </w:r>
            <w:r>
              <w:rPr>
                <w:rFonts w:ascii="Arial" w:hAnsi="Arial"/>
                <w:color w:val="5B6475"/>
                <w:sz w:val="15"/>
              </w:rPr>
              <w:br/>
              <w:t>Confirm names, mobile numbers, load-in rules, service scope, overtime, and strike obligations.</w:t>
            </w:r>
          </w:p>
        </w:tc>
        <w:tc>
          <w:tcPr>
            <w:tcW w:type="dxa" w:w="2044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</w:t>
            </w:r>
          </w:p>
        </w:tc>
      </w:tr>
      <w:tr>
        <w:trPr>
          <w:cantSplit/>
        </w:trPr>
        <w:tc>
          <w:tcPr>
            <w:tcW w:type="dxa" w:w="691"/>
            <w:vAlign w:val="top"/>
            <w:shd w:fill="F5F7FB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4 weeks before</w:t>
            </w:r>
          </w:p>
        </w:tc>
        <w:tc>
          <w:tcPr>
            <w:tcW w:type="dxa" w:w="5875"/>
            <w:vAlign w:val="top"/>
            <w:shd w:fill="F5F7FB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Build the primary and backup contact sheet</w:t>
            </w:r>
            <w:r>
              <w:rPr>
                <w:rFonts w:ascii="Arial" w:hAnsi="Arial"/>
                <w:color w:val="5B6475"/>
                <w:sz w:val="15"/>
              </w:rPr>
              <w:br/>
              <w:t>Include venue escalation, every vendor lead, transportation, wedding party leads, and emergency contacts.</w:t>
            </w:r>
          </w:p>
        </w:tc>
        <w:tc>
          <w:tcPr>
            <w:tcW w:type="dxa" w:w="2044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</w:t>
            </w:r>
          </w:p>
        </w:tc>
      </w:tr>
      <w:tr>
        <w:trPr>
          <w:cantSplit/>
        </w:trPr>
        <w:tc>
          <w:tcPr>
            <w:tcW w:type="dxa" w:w="691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3-4 weeks before</w:t>
            </w:r>
          </w:p>
        </w:tc>
        <w:tc>
          <w:tcPr>
            <w:tcW w:type="dxa" w:w="5875"/>
            <w:vAlign w:val="top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Review the master timeline with the couple and venue</w:t>
            </w:r>
            <w:r>
              <w:rPr>
                <w:rFonts w:ascii="Arial" w:hAnsi="Arial"/>
                <w:color w:val="5B6475"/>
                <w:sz w:val="15"/>
              </w:rPr>
              <w:br/>
              <w:t>Identify fixed times, flexible blocks, buffers, optional cuts, hard stops, and travel time.</w:t>
            </w:r>
          </w:p>
        </w:tc>
        <w:tc>
          <w:tcPr>
            <w:tcW w:type="dxa" w:w="2044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</w:t>
            </w:r>
          </w:p>
        </w:tc>
      </w:tr>
      <w:tr>
        <w:trPr>
          <w:cantSplit/>
        </w:trPr>
        <w:tc>
          <w:tcPr>
            <w:tcW w:type="dxa" w:w="691"/>
            <w:vAlign w:val="top"/>
            <w:shd w:fill="F5F7FB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3 weeks before</w:t>
            </w:r>
          </w:p>
        </w:tc>
        <w:tc>
          <w:tcPr>
            <w:tcW w:type="dxa" w:w="5875"/>
            <w:vAlign w:val="top"/>
            <w:shd w:fill="F5F7FB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Name the day-of change authority and cue callers</w:t>
            </w:r>
            <w:r>
              <w:rPr>
                <w:rFonts w:ascii="Arial" w:hAnsi="Arial"/>
                <w:color w:val="5B6475"/>
                <w:sz w:val="15"/>
              </w:rPr>
              <w:br/>
              <w:t>Record who approves timeline changes and who gives each ceremony and reception cue.</w:t>
            </w:r>
          </w:p>
        </w:tc>
        <w:tc>
          <w:tcPr>
            <w:tcW w:type="dxa" w:w="2044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Couple / coordinator</w:t>
            </w:r>
          </w:p>
        </w:tc>
      </w:tr>
      <w:tr>
        <w:trPr>
          <w:cantSplit/>
        </w:trPr>
        <w:tc>
          <w:tcPr>
            <w:tcW w:type="dxa" w:w="691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3 weeks before</w:t>
            </w:r>
          </w:p>
        </w:tc>
        <w:tc>
          <w:tcPr>
            <w:tcW w:type="dxa" w:w="5875"/>
            <w:vAlign w:val="top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Confirm load-in, parking, storage, and accessibility routes</w:t>
            </w:r>
            <w:r>
              <w:rPr>
                <w:rFonts w:ascii="Arial" w:hAnsi="Arial"/>
                <w:color w:val="5B6475"/>
                <w:sz w:val="15"/>
              </w:rPr>
              <w:br/>
              <w:t>Walk the actual entrances, elevators, restrooms, secure storage, guest route, and service route.</w:t>
            </w:r>
          </w:p>
        </w:tc>
        <w:tc>
          <w:tcPr>
            <w:tcW w:type="dxa" w:w="2044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venue</w:t>
            </w:r>
          </w:p>
        </w:tc>
      </w:tr>
      <w:tr>
        <w:trPr>
          <w:cantSplit/>
        </w:trPr>
        <w:tc>
          <w:tcPr>
            <w:tcW w:type="dxa" w:w="691"/>
            <w:vAlign w:val="top"/>
            <w:shd w:fill="F5F7FB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2-3 weeks before</w:t>
            </w:r>
          </w:p>
        </w:tc>
        <w:tc>
          <w:tcPr>
            <w:tcW w:type="dxa" w:w="5875"/>
            <w:vAlign w:val="top"/>
            <w:shd w:fill="F5F7FB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Document the weather and temperature decision plan</w:t>
            </w:r>
            <w:r>
              <w:rPr>
                <w:rFonts w:ascii="Arial" w:hAnsi="Arial"/>
                <w:color w:val="5B6475"/>
                <w:sz w:val="15"/>
              </w:rPr>
              <w:br/>
              <w:t>Name the decision owner, trigger time, forecast source, alternate setup, and communication sequence.</w:t>
            </w:r>
          </w:p>
        </w:tc>
        <w:tc>
          <w:tcPr>
            <w:tcW w:type="dxa" w:w="2044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venue</w:t>
            </w:r>
          </w:p>
        </w:tc>
      </w:tr>
      <w:tr>
        <w:trPr>
          <w:cantSplit/>
        </w:trPr>
        <w:tc>
          <w:tcPr>
            <w:tcW w:type="dxa" w:w="691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2-3 weeks before</w:t>
            </w:r>
          </w:p>
        </w:tc>
        <w:tc>
          <w:tcPr>
            <w:tcW w:type="dxa" w:w="5875"/>
            <w:vAlign w:val="top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Confirm guest and wedding-party transportation</w:t>
            </w:r>
            <w:r>
              <w:rPr>
                <w:rFonts w:ascii="Arial" w:hAnsi="Arial"/>
                <w:color w:val="5B6475"/>
                <w:sz w:val="15"/>
              </w:rPr>
              <w:br/>
              <w:t>Verify vehicles, capacity, drivers, pickup points, buffers, parking, and missed-ride fallback.</w:t>
            </w:r>
          </w:p>
        </w:tc>
        <w:tc>
          <w:tcPr>
            <w:tcW w:type="dxa" w:w="2044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transportation</w:t>
            </w:r>
          </w:p>
        </w:tc>
      </w:tr>
      <w:tr>
        <w:trPr>
          <w:cantSplit/>
        </w:trPr>
        <w:tc>
          <w:tcPr>
            <w:tcW w:type="dxa" w:w="691"/>
            <w:vAlign w:val="top"/>
            <w:shd w:fill="F5F7FB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2 weeks before</w:t>
            </w:r>
          </w:p>
        </w:tc>
        <w:tc>
          <w:tcPr>
            <w:tcW w:type="dxa" w:w="5875"/>
            <w:vAlign w:val="top"/>
            <w:shd w:fill="F5F7FB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Review ceremony and reception layouts</w:t>
            </w:r>
            <w:r>
              <w:rPr>
                <w:rFonts w:ascii="Arial" w:hAnsi="Arial"/>
                <w:color w:val="5B6475"/>
                <w:sz w:val="15"/>
              </w:rPr>
              <w:br/>
              <w:t>Check capacity, table numbers, reserved seats, vendor positions, power, exits, and step-free routes.</w:t>
            </w:r>
          </w:p>
        </w:tc>
        <w:tc>
          <w:tcPr>
            <w:tcW w:type="dxa" w:w="2044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venue</w:t>
            </w:r>
          </w:p>
        </w:tc>
      </w:tr>
      <w:tr>
        <w:trPr>
          <w:cantSplit/>
        </w:trPr>
        <w:tc>
          <w:tcPr>
            <w:tcW w:type="dxa" w:w="691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2 weeks before</w:t>
            </w:r>
          </w:p>
        </w:tc>
        <w:tc>
          <w:tcPr>
            <w:tcW w:type="dxa" w:w="5875"/>
            <w:vAlign w:val="top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Confirm the family photo list and wrangler</w:t>
            </w:r>
            <w:r>
              <w:rPr>
                <w:rFonts w:ascii="Arial" w:hAnsi="Arial"/>
                <w:color w:val="5B6475"/>
                <w:sz w:val="15"/>
              </w:rPr>
              <w:br/>
              <w:t>Use names and grouping order; the couple should not locate missing relatives.</w:t>
            </w:r>
          </w:p>
        </w:tc>
        <w:tc>
          <w:tcPr>
            <w:tcW w:type="dxa" w:w="2044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photographer</w:t>
            </w:r>
          </w:p>
        </w:tc>
      </w:tr>
      <w:tr>
        <w:trPr>
          <w:cantSplit/>
        </w:trPr>
        <w:tc>
          <w:tcPr>
            <w:tcW w:type="dxa" w:w="691"/>
            <w:vAlign w:val="top"/>
            <w:shd w:fill="F5F7FB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2 weeks before</w:t>
            </w:r>
          </w:p>
        </w:tc>
        <w:tc>
          <w:tcPr>
            <w:tcW w:type="dxa" w:w="5875"/>
            <w:vAlign w:val="top"/>
            <w:shd w:fill="F5F7FB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Confirm gifts, cards, personal items, rentals, and return owners</w:t>
            </w:r>
            <w:r>
              <w:rPr>
                <w:rFonts w:ascii="Arial" w:hAnsi="Arial"/>
                <w:color w:val="5B6475"/>
                <w:sz w:val="15"/>
              </w:rPr>
              <w:br/>
              <w:t>Name the secure location, recipient, vehicle, inventory owner, and return deadline.</w:t>
            </w:r>
          </w:p>
        </w:tc>
        <w:tc>
          <w:tcPr>
            <w:tcW w:type="dxa" w:w="2044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couple</w:t>
            </w:r>
          </w:p>
        </w:tc>
      </w:tr>
    </w:tbl>
    <w:p>
      <w:pPr>
        <w:spacing w:after="0"/>
      </w:pPr>
    </w:p>
    <w:p>
      <w:pPr>
        <w:pStyle w:val="Heading1"/>
      </w:pPr>
      <w:r>
        <w:t>Final week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"/>
        <w:gridCol w:w="1512"/>
        <w:gridCol w:w="5875"/>
        <w:gridCol w:w="2045"/>
      </w:tblGrid>
      <w:tr>
        <w:trPr>
          <w:tblHeader w:val="true"/>
        </w:trPr>
        <w:tc>
          <w:tcPr>
            <w:tcW w:type="dxa" w:w="691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Done</w:t>
            </w:r>
          </w:p>
        </w:tc>
        <w:tc>
          <w:tcPr>
            <w:tcW w:type="dxa" w:w="1512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When</w:t>
            </w:r>
          </w:p>
        </w:tc>
        <w:tc>
          <w:tcPr>
            <w:tcW w:type="dxa" w:w="5875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Task + confirmation note</w:t>
            </w:r>
          </w:p>
        </w:tc>
        <w:tc>
          <w:tcPr>
            <w:tcW w:type="dxa" w:w="2044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Owner</w:t>
            </w:r>
          </w:p>
        </w:tc>
      </w:tr>
      <w:tr>
        <w:trPr>
          <w:cantSplit/>
        </w:trPr>
        <w:tc>
          <w:tcPr>
            <w:tcW w:type="dxa" w:w="691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1-2 weeks before</w:t>
            </w:r>
          </w:p>
        </w:tc>
        <w:tc>
          <w:tcPr>
            <w:tcW w:type="dxa" w:w="5875"/>
            <w:vAlign w:val="top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Create role-specific schedules from the approved master</w:t>
            </w:r>
            <w:r>
              <w:rPr>
                <w:rFonts w:ascii="Arial" w:hAnsi="Arial"/>
                <w:color w:val="5B6475"/>
                <w:sz w:val="15"/>
              </w:rPr>
              <w:br/>
              <w:t>Give each person only the times, locations, contacts, and cues they need; retain one source of truth.</w:t>
            </w:r>
          </w:p>
        </w:tc>
        <w:tc>
          <w:tcPr>
            <w:tcW w:type="dxa" w:w="2044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</w:t>
            </w:r>
          </w:p>
        </w:tc>
      </w:tr>
      <w:tr>
        <w:trPr>
          <w:cantSplit/>
        </w:trPr>
        <w:tc>
          <w:tcPr>
            <w:tcW w:type="dxa" w:w="691"/>
            <w:vAlign w:val="top"/>
            <w:shd w:fill="F5F7FB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5-7 days before</w:t>
            </w:r>
          </w:p>
        </w:tc>
        <w:tc>
          <w:tcPr>
            <w:tcW w:type="dxa" w:w="5875"/>
            <w:vAlign w:val="top"/>
            <w:shd w:fill="F5F7FB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Confirm every vendor directly</w:t>
            </w:r>
            <w:r>
              <w:rPr>
                <w:rFonts w:ascii="Arial" w:hAnsi="Arial"/>
                <w:color w:val="5B6475"/>
                <w:sz w:val="15"/>
              </w:rPr>
              <w:br/>
              <w:t>Receive an explicit yes for arrival, setup, service, departure, contact, and any change.</w:t>
            </w:r>
          </w:p>
        </w:tc>
        <w:tc>
          <w:tcPr>
            <w:tcW w:type="dxa" w:w="2044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</w:t>
            </w:r>
          </w:p>
        </w:tc>
      </w:tr>
      <w:tr>
        <w:trPr>
          <w:cantSplit/>
        </w:trPr>
        <w:tc>
          <w:tcPr>
            <w:tcW w:type="dxa" w:w="691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3-5 days before</w:t>
            </w:r>
          </w:p>
        </w:tc>
        <w:tc>
          <w:tcPr>
            <w:tcW w:type="dxa" w:w="5875"/>
            <w:vAlign w:val="top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Complete the final venue walkthrough</w:t>
            </w:r>
            <w:r>
              <w:rPr>
                <w:rFonts w:ascii="Arial" w:hAnsi="Arial"/>
                <w:color w:val="5B6475"/>
                <w:sz w:val="15"/>
              </w:rPr>
              <w:br/>
              <w:t>Verify rooms, keys, lighting, climate, furniture, kitchen, bar, loading, cleanup, and hard stop.</w:t>
            </w:r>
          </w:p>
        </w:tc>
        <w:tc>
          <w:tcPr>
            <w:tcW w:type="dxa" w:w="2044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venue</w:t>
            </w:r>
          </w:p>
        </w:tc>
      </w:tr>
      <w:tr>
        <w:trPr>
          <w:cantSplit/>
        </w:trPr>
        <w:tc>
          <w:tcPr>
            <w:tcW w:type="dxa" w:w="691"/>
            <w:vAlign w:val="top"/>
            <w:shd w:fill="F5F7FB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2-4 days before</w:t>
            </w:r>
          </w:p>
        </w:tc>
        <w:tc>
          <w:tcPr>
            <w:tcW w:type="dxa" w:w="5875"/>
            <w:vAlign w:val="top"/>
            <w:shd w:fill="F5F7FB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Prepare the day-of document and supply kit</w:t>
            </w:r>
            <w:r>
              <w:rPr>
                <w:rFonts w:ascii="Arial" w:hAnsi="Arial"/>
                <w:color w:val="5B6475"/>
                <w:sz w:val="15"/>
              </w:rPr>
              <w:br/>
              <w:t>Pack the approved timeline, contacts, layouts, cue lists, basic tools, labels, chargers, and offline copies.</w:t>
            </w:r>
          </w:p>
        </w:tc>
        <w:tc>
          <w:tcPr>
            <w:tcW w:type="dxa" w:w="2044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</w:t>
            </w:r>
          </w:p>
        </w:tc>
      </w:tr>
      <w:tr>
        <w:trPr>
          <w:cantSplit/>
        </w:trPr>
        <w:tc>
          <w:tcPr>
            <w:tcW w:type="dxa" w:w="691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1-2 days before</w:t>
            </w:r>
          </w:p>
        </w:tc>
        <w:tc>
          <w:tcPr>
            <w:tcW w:type="dxa" w:w="5875"/>
            <w:vAlign w:val="top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Lead or attend the ceremony rehearsal</w:t>
            </w:r>
            <w:r>
              <w:rPr>
                <w:rFonts w:ascii="Arial" w:hAnsi="Arial"/>
                <w:color w:val="5B6475"/>
                <w:sz w:val="15"/>
              </w:rPr>
              <w:br/>
              <w:t>Practice lineup, pace, handoffs, seating, microphones, music, and the weather alternative.</w:t>
            </w:r>
          </w:p>
        </w:tc>
        <w:tc>
          <w:tcPr>
            <w:tcW w:type="dxa" w:w="2044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officiant</w:t>
            </w:r>
          </w:p>
        </w:tc>
      </w:tr>
      <w:tr>
        <w:trPr>
          <w:cantSplit/>
        </w:trPr>
        <w:tc>
          <w:tcPr>
            <w:tcW w:type="dxa" w:w="691"/>
            <w:vAlign w:val="top"/>
            <w:shd w:fill="F5F7FB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1 day before</w:t>
            </w:r>
          </w:p>
        </w:tc>
        <w:tc>
          <w:tcPr>
            <w:tcW w:type="dxa" w:w="5875"/>
            <w:vAlign w:val="top"/>
            <w:shd w:fill="F5F7FB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Reconfirm weather, transportation, and urgent changes</w:t>
            </w:r>
            <w:r>
              <w:rPr>
                <w:rFonts w:ascii="Arial" w:hAnsi="Arial"/>
                <w:color w:val="5B6475"/>
                <w:sz w:val="15"/>
              </w:rPr>
              <w:br/>
              <w:t>Record the final decision, update the source plan, and tell only the affected people.</w:t>
            </w:r>
          </w:p>
        </w:tc>
        <w:tc>
          <w:tcPr>
            <w:tcW w:type="dxa" w:w="2044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</w:t>
            </w:r>
          </w:p>
        </w:tc>
      </w:tr>
    </w:tbl>
    <w:p>
      <w:pPr>
        <w:spacing w:after="0"/>
      </w:pPr>
    </w:p>
    <w:p>
      <w:pPr>
        <w:pStyle w:val="Heading1"/>
      </w:pPr>
      <w:r>
        <w:t>Wedding morning and setup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"/>
        <w:gridCol w:w="1512"/>
        <w:gridCol w:w="5875"/>
        <w:gridCol w:w="2045"/>
      </w:tblGrid>
      <w:tr>
        <w:trPr>
          <w:tblHeader w:val="true"/>
        </w:trPr>
        <w:tc>
          <w:tcPr>
            <w:tcW w:type="dxa" w:w="691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Done</w:t>
            </w:r>
          </w:p>
        </w:tc>
        <w:tc>
          <w:tcPr>
            <w:tcW w:type="dxa" w:w="1512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When</w:t>
            </w:r>
          </w:p>
        </w:tc>
        <w:tc>
          <w:tcPr>
            <w:tcW w:type="dxa" w:w="5875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Task + confirmation note</w:t>
            </w:r>
          </w:p>
        </w:tc>
        <w:tc>
          <w:tcPr>
            <w:tcW w:type="dxa" w:w="2044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Owner</w:t>
            </w:r>
          </w:p>
        </w:tc>
      </w:tr>
      <w:tr>
        <w:trPr>
          <w:cantSplit/>
        </w:trPr>
        <w:tc>
          <w:tcPr>
            <w:tcW w:type="dxa" w:w="691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Before first vendor</w:t>
            </w:r>
          </w:p>
        </w:tc>
        <w:tc>
          <w:tcPr>
            <w:tcW w:type="dxa" w:w="5875"/>
            <w:vAlign w:val="top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Open the venue and verify life-safety and access conditions</w:t>
            </w:r>
            <w:r>
              <w:rPr>
                <w:rFonts w:ascii="Arial" w:hAnsi="Arial"/>
                <w:color w:val="5B6475"/>
                <w:sz w:val="15"/>
              </w:rPr>
              <w:br/>
              <w:t>Do not improvise around blocked exits or unsafe conditions; use the venue escalation path.</w:t>
            </w:r>
          </w:p>
        </w:tc>
        <w:tc>
          <w:tcPr>
            <w:tcW w:type="dxa" w:w="2044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venue</w:t>
            </w:r>
          </w:p>
        </w:tc>
      </w:tr>
      <w:tr>
        <w:trPr>
          <w:cantSplit/>
        </w:trPr>
        <w:tc>
          <w:tcPr>
            <w:tcW w:type="dxa" w:w="691"/>
            <w:vAlign w:val="top"/>
            <w:shd w:fill="F5F7FB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At each arrival</w:t>
            </w:r>
          </w:p>
        </w:tc>
        <w:tc>
          <w:tcPr>
            <w:tcW w:type="dxa" w:w="5875"/>
            <w:vAlign w:val="top"/>
            <w:shd w:fill="F5F7FB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Check in each vendor and confirm the communication path</w:t>
            </w:r>
            <w:r>
              <w:rPr>
                <w:rFonts w:ascii="Arial" w:hAnsi="Arial"/>
                <w:color w:val="5B6475"/>
                <w:sz w:val="15"/>
              </w:rPr>
              <w:br/>
              <w:t>Record arrival, lead name, work area, immediate dependency, and best contact; keep the couple out of routine relays.</w:t>
            </w:r>
          </w:p>
        </w:tc>
        <w:tc>
          <w:tcPr>
            <w:tcW w:type="dxa" w:w="2044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</w:t>
            </w:r>
          </w:p>
        </w:tc>
      </w:tr>
      <w:tr>
        <w:trPr>
          <w:cantSplit/>
        </w:trPr>
        <w:tc>
          <w:tcPr>
            <w:tcW w:type="dxa" w:w="691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During load-in</w:t>
            </w:r>
          </w:p>
        </w:tc>
        <w:tc>
          <w:tcPr>
            <w:tcW w:type="dxa" w:w="5875"/>
            <w:vAlign w:val="top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Track deliveries, inventory, and setup dependencies</w:t>
            </w:r>
            <w:r>
              <w:rPr>
                <w:rFonts w:ascii="Arial" w:hAnsi="Arial"/>
                <w:color w:val="5B6475"/>
                <w:sz w:val="15"/>
              </w:rPr>
              <w:br/>
              <w:t>Photograph delivered items, note shortages or damage, and resolve guest-facing essentials first.</w:t>
            </w:r>
          </w:p>
        </w:tc>
        <w:tc>
          <w:tcPr>
            <w:tcW w:type="dxa" w:w="2044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setup leads</w:t>
            </w:r>
          </w:p>
        </w:tc>
      </w:tr>
      <w:tr>
        <w:trPr>
          <w:cantSplit/>
        </w:trPr>
        <w:tc>
          <w:tcPr>
            <w:tcW w:type="dxa" w:w="691"/>
            <w:vAlign w:val="top"/>
            <w:shd w:fill="F5F7FB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Before guest areas open</w:t>
            </w:r>
          </w:p>
        </w:tc>
        <w:tc>
          <w:tcPr>
            <w:tcW w:type="dxa" w:w="5875"/>
            <w:vAlign w:val="top"/>
            <w:shd w:fill="F5F7FB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Inspect ceremony, cocktail, and reception spaces</w:t>
            </w:r>
            <w:r>
              <w:rPr>
                <w:rFonts w:ascii="Arial" w:hAnsi="Arial"/>
                <w:color w:val="5B6475"/>
                <w:sz w:val="15"/>
              </w:rPr>
              <w:br/>
              <w:t>Check cleanliness, climate, lighting, sound, signage, seating, restrooms, accessibility, and weather protection.</w:t>
            </w:r>
          </w:p>
        </w:tc>
        <w:tc>
          <w:tcPr>
            <w:tcW w:type="dxa" w:w="2044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venue</w:t>
            </w:r>
          </w:p>
        </w:tc>
      </w:tr>
      <w:tr>
        <w:trPr>
          <w:cantSplit/>
        </w:trPr>
        <w:tc>
          <w:tcPr>
            <w:tcW w:type="dxa" w:w="691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At service start</w:t>
            </w:r>
          </w:p>
        </w:tc>
        <w:tc>
          <w:tcPr>
            <w:tcW w:type="dxa" w:w="5875"/>
            <w:vAlign w:val="top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Confirm hair and makeup order and finish target</w:t>
            </w:r>
            <w:r>
              <w:rPr>
                <w:rFonts w:ascii="Arial" w:hAnsi="Arial"/>
                <w:color w:val="5B6475"/>
                <w:sz w:val="15"/>
              </w:rPr>
              <w:br/>
              <w:t>Track actual starts and alert photo before the portrait schedule is affected.</w:t>
            </w:r>
          </w:p>
        </w:tc>
        <w:tc>
          <w:tcPr>
            <w:tcW w:type="dxa" w:w="2044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beauty lead</w:t>
            </w:r>
          </w:p>
        </w:tc>
      </w:tr>
      <w:tr>
        <w:trPr>
          <w:cantSplit/>
        </w:trPr>
        <w:tc>
          <w:tcPr>
            <w:tcW w:type="dxa" w:w="691"/>
            <w:vAlign w:val="top"/>
            <w:shd w:fill="F5F7FB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Before detail photos</w:t>
            </w:r>
          </w:p>
        </w:tc>
        <w:tc>
          <w:tcPr>
            <w:tcW w:type="dxa" w:w="5875"/>
            <w:vAlign w:val="top"/>
            <w:shd w:fill="F5F7FB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Gather attire, rings, stationery, flowers, and personal details</w:t>
            </w:r>
            <w:r>
              <w:rPr>
                <w:rFonts w:ascii="Arial" w:hAnsi="Arial"/>
                <w:color w:val="5B6475"/>
                <w:sz w:val="15"/>
              </w:rPr>
              <w:br/>
              <w:t>Keep items together, record custody, and return valuables to the named owner.</w:t>
            </w:r>
          </w:p>
        </w:tc>
        <w:tc>
          <w:tcPr>
            <w:tcW w:type="dxa" w:w="2044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designated attendant</w:t>
            </w:r>
          </w:p>
        </w:tc>
      </w:tr>
      <w:tr>
        <w:trPr>
          <w:cantSplit/>
        </w:trPr>
        <w:tc>
          <w:tcPr>
            <w:tcW w:type="dxa" w:w="691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Before portraits</w:t>
            </w:r>
          </w:p>
        </w:tc>
        <w:tc>
          <w:tcPr>
            <w:tcW w:type="dxa" w:w="5875"/>
            <w:vAlign w:val="top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Confirm food, water, dressing, and travel readiness</w:t>
            </w:r>
            <w:r>
              <w:rPr>
                <w:rFonts w:ascii="Arial" w:hAnsi="Arial"/>
                <w:color w:val="5B6475"/>
                <w:sz w:val="15"/>
              </w:rPr>
              <w:br/>
              <w:t>Protect health and dignity; verify people, vehicles, bouquets, accessories, and the departure cue.</w:t>
            </w:r>
          </w:p>
        </w:tc>
        <w:tc>
          <w:tcPr>
            <w:tcW w:type="dxa" w:w="2044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attendants</w:t>
            </w:r>
          </w:p>
        </w:tc>
      </w:tr>
    </w:tbl>
    <w:p>
      <w:pPr>
        <w:spacing w:after="0"/>
      </w:pPr>
    </w:p>
    <w:p>
      <w:pPr>
        <w:pStyle w:val="Heading1"/>
      </w:pPr>
      <w:r>
        <w:t>Pre-ceremony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"/>
        <w:gridCol w:w="1512"/>
        <w:gridCol w:w="5875"/>
        <w:gridCol w:w="2045"/>
      </w:tblGrid>
      <w:tr>
        <w:trPr>
          <w:tblHeader w:val="true"/>
        </w:trPr>
        <w:tc>
          <w:tcPr>
            <w:tcW w:type="dxa" w:w="691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Done</w:t>
            </w:r>
          </w:p>
        </w:tc>
        <w:tc>
          <w:tcPr>
            <w:tcW w:type="dxa" w:w="1512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When</w:t>
            </w:r>
          </w:p>
        </w:tc>
        <w:tc>
          <w:tcPr>
            <w:tcW w:type="dxa" w:w="5875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Task + confirmation note</w:t>
            </w:r>
          </w:p>
        </w:tc>
        <w:tc>
          <w:tcPr>
            <w:tcW w:type="dxa" w:w="2044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Owner</w:t>
            </w:r>
          </w:p>
        </w:tc>
      </w:tr>
      <w:tr>
        <w:trPr>
          <w:cantSplit/>
        </w:trPr>
        <w:tc>
          <w:tcPr>
            <w:tcW w:type="dxa" w:w="691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60-90 minutes before</w:t>
            </w:r>
          </w:p>
        </w:tc>
        <w:tc>
          <w:tcPr>
            <w:tcW w:type="dxa" w:w="5875"/>
            <w:vAlign w:val="top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Complete the audio and music soundcheck</w:t>
            </w:r>
            <w:r>
              <w:rPr>
                <w:rFonts w:ascii="Arial" w:hAnsi="Arial"/>
                <w:color w:val="5B6475"/>
                <w:sz w:val="15"/>
              </w:rPr>
              <w:br/>
              <w:t>Test microphones, processional and recessional tracks, power, backup audio, and pronunciations.</w:t>
            </w:r>
          </w:p>
        </w:tc>
        <w:tc>
          <w:tcPr>
            <w:tcW w:type="dxa" w:w="2044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audio lead</w:t>
            </w:r>
          </w:p>
        </w:tc>
      </w:tr>
      <w:tr>
        <w:trPr>
          <w:cantSplit/>
        </w:trPr>
        <w:tc>
          <w:tcPr>
            <w:tcW w:type="dxa" w:w="691"/>
            <w:vAlign w:val="top"/>
            <w:shd w:fill="F5F7FB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45-60 minutes before</w:t>
            </w:r>
          </w:p>
        </w:tc>
        <w:tc>
          <w:tcPr>
            <w:tcW w:type="dxa" w:w="5875"/>
            <w:vAlign w:val="top"/>
            <w:shd w:fill="F5F7FB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Confirm the ceremony is guest-ready</w:t>
            </w:r>
            <w:r>
              <w:rPr>
                <w:rFonts w:ascii="Arial" w:hAnsi="Arial"/>
                <w:color w:val="5B6475"/>
                <w:sz w:val="15"/>
              </w:rPr>
              <w:br/>
              <w:t>Check reserved seats, programs, water, ushers, signage, weather plan, and accessible route.</w:t>
            </w:r>
          </w:p>
        </w:tc>
        <w:tc>
          <w:tcPr>
            <w:tcW w:type="dxa" w:w="2044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ceremony lead</w:t>
            </w:r>
          </w:p>
        </w:tc>
      </w:tr>
      <w:tr>
        <w:trPr>
          <w:cantSplit/>
        </w:trPr>
        <w:tc>
          <w:tcPr>
            <w:tcW w:type="dxa" w:w="691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20-30 minutes before</w:t>
            </w:r>
          </w:p>
        </w:tc>
        <w:tc>
          <w:tcPr>
            <w:tcW w:type="dxa" w:w="5875"/>
            <w:vAlign w:val="top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Hide and line up the wedding party</w:t>
            </w:r>
            <w:r>
              <w:rPr>
                <w:rFonts w:ascii="Arial" w:hAnsi="Arial"/>
                <w:color w:val="5B6475"/>
                <w:sz w:val="15"/>
              </w:rPr>
              <w:br/>
              <w:t>Verify order, bouquets, boutonnieres, rings, license, officiant, and photo/video positions.</w:t>
            </w:r>
          </w:p>
        </w:tc>
        <w:tc>
          <w:tcPr>
            <w:tcW w:type="dxa" w:w="2044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wedding party lead</w:t>
            </w:r>
          </w:p>
        </w:tc>
      </w:tr>
    </w:tbl>
    <w:p>
      <w:pPr>
        <w:spacing w:after="0"/>
      </w:pPr>
    </w:p>
    <w:p>
      <w:pPr>
        <w:pStyle w:val="Heading1"/>
      </w:pPr>
      <w:r>
        <w:t>Ceremony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"/>
        <w:gridCol w:w="1512"/>
        <w:gridCol w:w="5875"/>
        <w:gridCol w:w="2045"/>
      </w:tblGrid>
      <w:tr>
        <w:trPr>
          <w:tblHeader w:val="true"/>
        </w:trPr>
        <w:tc>
          <w:tcPr>
            <w:tcW w:type="dxa" w:w="691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Done</w:t>
            </w:r>
          </w:p>
        </w:tc>
        <w:tc>
          <w:tcPr>
            <w:tcW w:type="dxa" w:w="1512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When</w:t>
            </w:r>
          </w:p>
        </w:tc>
        <w:tc>
          <w:tcPr>
            <w:tcW w:type="dxa" w:w="5875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Task + confirmation note</w:t>
            </w:r>
          </w:p>
        </w:tc>
        <w:tc>
          <w:tcPr>
            <w:tcW w:type="dxa" w:w="2044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Owner</w:t>
            </w:r>
          </w:p>
        </w:tc>
      </w:tr>
      <w:tr>
        <w:trPr>
          <w:cantSplit/>
        </w:trPr>
        <w:tc>
          <w:tcPr>
            <w:tcW w:type="dxa" w:w="691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At processional</w:t>
            </w:r>
          </w:p>
        </w:tc>
        <w:tc>
          <w:tcPr>
            <w:tcW w:type="dxa" w:w="5875"/>
            <w:vAlign w:val="top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Cue doors, music, participants, and officiant</w:t>
            </w:r>
            <w:r>
              <w:rPr>
                <w:rFonts w:ascii="Arial" w:hAnsi="Arial"/>
                <w:color w:val="5B6475"/>
                <w:sz w:val="15"/>
              </w:rPr>
              <w:br/>
              <w:t>Use one cue caller and pause when a required person or safety condition is not ready.</w:t>
            </w:r>
          </w:p>
        </w:tc>
        <w:tc>
          <w:tcPr>
            <w:tcW w:type="dxa" w:w="2044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Ceremony cue caller</w:t>
            </w:r>
          </w:p>
        </w:tc>
      </w:tr>
      <w:tr>
        <w:trPr>
          <w:cantSplit/>
        </w:trPr>
        <w:tc>
          <w:tcPr>
            <w:tcW w:type="dxa" w:w="691"/>
            <w:vAlign w:val="top"/>
            <w:shd w:fill="F5F7FB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During ceremony</w:t>
            </w:r>
          </w:p>
        </w:tc>
        <w:tc>
          <w:tcPr>
            <w:tcW w:type="dxa" w:w="5875"/>
            <w:vAlign w:val="top"/>
            <w:shd w:fill="F5F7FB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Monitor timing and prepare the recessional transition</w:t>
            </w:r>
            <w:r>
              <w:rPr>
                <w:rFonts w:ascii="Arial" w:hAnsi="Arial"/>
                <w:color w:val="5B6475"/>
                <w:sz w:val="15"/>
              </w:rPr>
              <w:br/>
              <w:t>Avoid interrupting the ceremony unless safety or the authorized recovery plan requires it.</w:t>
            </w:r>
          </w:p>
        </w:tc>
        <w:tc>
          <w:tcPr>
            <w:tcW w:type="dxa" w:w="2044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</w:t>
            </w:r>
          </w:p>
        </w:tc>
      </w:tr>
    </w:tbl>
    <w:p>
      <w:pPr>
        <w:spacing w:after="0"/>
      </w:pPr>
    </w:p>
    <w:p>
      <w:pPr>
        <w:pStyle w:val="Heading1"/>
      </w:pPr>
      <w:r>
        <w:t>Cocktail hour and transition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"/>
        <w:gridCol w:w="1512"/>
        <w:gridCol w:w="5875"/>
        <w:gridCol w:w="2045"/>
      </w:tblGrid>
      <w:tr>
        <w:trPr>
          <w:tblHeader w:val="true"/>
        </w:trPr>
        <w:tc>
          <w:tcPr>
            <w:tcW w:type="dxa" w:w="691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Done</w:t>
            </w:r>
          </w:p>
        </w:tc>
        <w:tc>
          <w:tcPr>
            <w:tcW w:type="dxa" w:w="1512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When</w:t>
            </w:r>
          </w:p>
        </w:tc>
        <w:tc>
          <w:tcPr>
            <w:tcW w:type="dxa" w:w="5875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Task + confirmation note</w:t>
            </w:r>
          </w:p>
        </w:tc>
        <w:tc>
          <w:tcPr>
            <w:tcW w:type="dxa" w:w="2044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Owner</w:t>
            </w:r>
          </w:p>
        </w:tc>
      </w:tr>
      <w:tr>
        <w:trPr>
          <w:cantSplit/>
        </w:trPr>
        <w:tc>
          <w:tcPr>
            <w:tcW w:type="dxa" w:w="691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Immediately after ceremony</w:t>
            </w:r>
          </w:p>
        </w:tc>
        <w:tc>
          <w:tcPr>
            <w:tcW w:type="dxa" w:w="5875"/>
            <w:vAlign w:val="top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Direct guests and release the photo list</w:t>
            </w:r>
            <w:r>
              <w:rPr>
                <w:rFonts w:ascii="Arial" w:hAnsi="Arial"/>
                <w:color w:val="5B6475"/>
                <w:sz w:val="15"/>
              </w:rPr>
              <w:br/>
              <w:t>Open the correct guest route and stage named family groups away from guest traffic.</w:t>
            </w:r>
          </w:p>
        </w:tc>
        <w:tc>
          <w:tcPr>
            <w:tcW w:type="dxa" w:w="2044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ushers / family wrangler</w:t>
            </w:r>
          </w:p>
        </w:tc>
      </w:tr>
      <w:tr>
        <w:trPr>
          <w:cantSplit/>
        </w:trPr>
        <w:tc>
          <w:tcPr>
            <w:tcW w:type="dxa" w:w="691"/>
            <w:vAlign w:val="top"/>
            <w:shd w:fill="F5F7FB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During cocktail hour</w:t>
            </w:r>
          </w:p>
        </w:tc>
        <w:tc>
          <w:tcPr>
            <w:tcW w:type="dxa" w:w="5875"/>
            <w:vAlign w:val="top"/>
            <w:shd w:fill="F5F7FB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Manage room flip and reception readiness</w:t>
            </w:r>
            <w:r>
              <w:rPr>
                <w:rFonts w:ascii="Arial" w:hAnsi="Arial"/>
                <w:color w:val="5B6475"/>
                <w:sz w:val="15"/>
              </w:rPr>
              <w:br/>
              <w:t>Track tables, decor, lighting, sound, catering, seating display, and completion sign-off.</w:t>
            </w:r>
          </w:p>
        </w:tc>
        <w:tc>
          <w:tcPr>
            <w:tcW w:type="dxa" w:w="2044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venue / vendors</w:t>
            </w:r>
          </w:p>
        </w:tc>
      </w:tr>
      <w:tr>
        <w:trPr>
          <w:cantSplit/>
        </w:trPr>
        <w:tc>
          <w:tcPr>
            <w:tcW w:type="dxa" w:w="691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15 minutes before reception</w:t>
            </w:r>
          </w:p>
        </w:tc>
        <w:tc>
          <w:tcPr>
            <w:tcW w:type="dxa" w:w="5875"/>
            <w:vAlign w:val="top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Confirm guest seating and wedding-party lineup</w:t>
            </w:r>
            <w:r>
              <w:rPr>
                <w:rFonts w:ascii="Arial" w:hAnsi="Arial"/>
                <w:color w:val="5B6475"/>
                <w:sz w:val="15"/>
              </w:rPr>
              <w:br/>
              <w:t>Resolve seating issues away from the couple and verify names and pronunciations.</w:t>
            </w:r>
          </w:p>
        </w:tc>
        <w:tc>
          <w:tcPr>
            <w:tcW w:type="dxa" w:w="2044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MC</w:t>
            </w:r>
          </w:p>
        </w:tc>
      </w:tr>
    </w:tbl>
    <w:p>
      <w:pPr>
        <w:spacing w:after="0"/>
      </w:pPr>
    </w:p>
    <w:p>
      <w:pPr>
        <w:pStyle w:val="Heading1"/>
      </w:pPr>
      <w:r>
        <w:t>Reception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"/>
        <w:gridCol w:w="1512"/>
        <w:gridCol w:w="5875"/>
        <w:gridCol w:w="2045"/>
      </w:tblGrid>
      <w:tr>
        <w:trPr>
          <w:tblHeader w:val="true"/>
        </w:trPr>
        <w:tc>
          <w:tcPr>
            <w:tcW w:type="dxa" w:w="691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Done</w:t>
            </w:r>
          </w:p>
        </w:tc>
        <w:tc>
          <w:tcPr>
            <w:tcW w:type="dxa" w:w="1512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When</w:t>
            </w:r>
          </w:p>
        </w:tc>
        <w:tc>
          <w:tcPr>
            <w:tcW w:type="dxa" w:w="5875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Task + confirmation note</w:t>
            </w:r>
          </w:p>
        </w:tc>
        <w:tc>
          <w:tcPr>
            <w:tcW w:type="dxa" w:w="2044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Owner</w:t>
            </w:r>
          </w:p>
        </w:tc>
      </w:tr>
      <w:tr>
        <w:trPr>
          <w:cantSplit/>
        </w:trPr>
        <w:tc>
          <w:tcPr>
            <w:tcW w:type="dxa" w:w="691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Before dinner</w:t>
            </w:r>
          </w:p>
        </w:tc>
        <w:tc>
          <w:tcPr>
            <w:tcW w:type="dxa" w:w="5875"/>
            <w:vAlign w:val="top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Confirm entrance, first dance, and meal-service cues</w:t>
            </w:r>
            <w:r>
              <w:rPr>
                <w:rFonts w:ascii="Arial" w:hAnsi="Arial"/>
                <w:color w:val="5B6475"/>
                <w:sz w:val="15"/>
              </w:rPr>
              <w:br/>
              <w:t>Do not release a cue until the couple, camera teams, audio, room, and kitchen are ready.</w:t>
            </w:r>
          </w:p>
        </w:tc>
        <w:tc>
          <w:tcPr>
            <w:tcW w:type="dxa" w:w="2044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MC / catering</w:t>
            </w:r>
          </w:p>
        </w:tc>
      </w:tr>
      <w:tr>
        <w:trPr>
          <w:cantSplit/>
        </w:trPr>
        <w:tc>
          <w:tcPr>
            <w:tcW w:type="dxa" w:w="691"/>
            <w:vAlign w:val="top"/>
            <w:shd w:fill="F5F7FB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During dinner</w:t>
            </w:r>
          </w:p>
        </w:tc>
        <w:tc>
          <w:tcPr>
            <w:tcW w:type="dxa" w:w="5875"/>
            <w:vAlign w:val="top"/>
            <w:shd w:fill="F5F7FB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Track meal service, dietary handoffs, and vendor meals</w:t>
            </w:r>
            <w:r>
              <w:rPr>
                <w:rFonts w:ascii="Arial" w:hAnsi="Arial"/>
                <w:color w:val="5B6475"/>
                <w:sz w:val="15"/>
              </w:rPr>
              <w:br/>
              <w:t>Use confirmed guest and caterer information; the checklist does not verify allergy safety.</w:t>
            </w:r>
          </w:p>
        </w:tc>
        <w:tc>
          <w:tcPr>
            <w:tcW w:type="dxa" w:w="2044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catering captain</w:t>
            </w:r>
          </w:p>
        </w:tc>
      </w:tr>
      <w:tr>
        <w:trPr>
          <w:cantSplit/>
        </w:trPr>
        <w:tc>
          <w:tcPr>
            <w:tcW w:type="dxa" w:w="691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Before formalities</w:t>
            </w:r>
          </w:p>
        </w:tc>
        <w:tc>
          <w:tcPr>
            <w:tcW w:type="dxa" w:w="5875"/>
            <w:vAlign w:val="top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Confirm speakers, microphones, songs, cake, and camera positions</w:t>
            </w:r>
            <w:r>
              <w:rPr>
                <w:rFonts w:ascii="Arial" w:hAnsi="Arial"/>
                <w:color w:val="5B6475"/>
                <w:sz w:val="15"/>
              </w:rPr>
              <w:br/>
              <w:t>Verify order and readiness before moving guests' attention or changing service flow.</w:t>
            </w:r>
          </w:p>
        </w:tc>
        <w:tc>
          <w:tcPr>
            <w:tcW w:type="dxa" w:w="2044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MC</w:t>
            </w:r>
          </w:p>
        </w:tc>
      </w:tr>
      <w:tr>
        <w:trPr>
          <w:cantSplit/>
        </w:trPr>
        <w:tc>
          <w:tcPr>
            <w:tcW w:type="dxa" w:w="691"/>
            <w:vAlign w:val="top"/>
            <w:shd w:fill="F5F7FB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During open dancing</w:t>
            </w:r>
          </w:p>
        </w:tc>
        <w:tc>
          <w:tcPr>
            <w:tcW w:type="dxa" w:w="5875"/>
            <w:vAlign w:val="top"/>
            <w:shd w:fill="F5F7FB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Monitor timeline drift, breaks, bar timing, and transportation</w:t>
            </w:r>
            <w:r>
              <w:rPr>
                <w:rFonts w:ascii="Arial" w:hAnsi="Arial"/>
                <w:color w:val="5B6475"/>
                <w:sz w:val="15"/>
              </w:rPr>
              <w:br/>
              <w:t>Use approved buffers and optional cuts first; only the named authority approves a timeline change.</w:t>
            </w:r>
          </w:p>
        </w:tc>
        <w:tc>
          <w:tcPr>
            <w:tcW w:type="dxa" w:w="2044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</w:t>
            </w:r>
          </w:p>
        </w:tc>
      </w:tr>
      <w:tr>
        <w:trPr>
          <w:cantSplit/>
        </w:trPr>
        <w:tc>
          <w:tcPr>
            <w:tcW w:type="dxa" w:w="691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Before the final hour</w:t>
            </w:r>
          </w:p>
        </w:tc>
        <w:tc>
          <w:tcPr>
            <w:tcW w:type="dxa" w:w="5875"/>
            <w:vAlign w:val="top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Confirm last call, final song, send-off, and hard venue stop</w:t>
            </w:r>
            <w:r>
              <w:rPr>
                <w:rFonts w:ascii="Arial" w:hAnsi="Arial"/>
                <w:color w:val="5B6475"/>
                <w:sz w:val="15"/>
              </w:rPr>
              <w:br/>
              <w:t>Align bar, transportation, photo/video, lighting, guest route, and the couple's departure vehicle.</w:t>
            </w:r>
          </w:p>
        </w:tc>
        <w:tc>
          <w:tcPr>
            <w:tcW w:type="dxa" w:w="2044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venue / MC</w:t>
            </w:r>
          </w:p>
        </w:tc>
      </w:tr>
    </w:tbl>
    <w:p>
      <w:pPr>
        <w:spacing w:after="0"/>
      </w:pPr>
    </w:p>
    <w:p>
      <w:pPr>
        <w:pStyle w:val="Heading1"/>
      </w:pPr>
      <w:r>
        <w:t>Breakdown and handoffs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"/>
        <w:gridCol w:w="1512"/>
        <w:gridCol w:w="5875"/>
        <w:gridCol w:w="2045"/>
      </w:tblGrid>
      <w:tr>
        <w:trPr>
          <w:tblHeader w:val="true"/>
        </w:trPr>
        <w:tc>
          <w:tcPr>
            <w:tcW w:type="dxa" w:w="691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Done</w:t>
            </w:r>
          </w:p>
        </w:tc>
        <w:tc>
          <w:tcPr>
            <w:tcW w:type="dxa" w:w="1512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When</w:t>
            </w:r>
          </w:p>
        </w:tc>
        <w:tc>
          <w:tcPr>
            <w:tcW w:type="dxa" w:w="5875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Task + confirmation note</w:t>
            </w:r>
          </w:p>
        </w:tc>
        <w:tc>
          <w:tcPr>
            <w:tcW w:type="dxa" w:w="2044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Owner</w:t>
            </w:r>
          </w:p>
        </w:tc>
      </w:tr>
      <w:tr>
        <w:trPr>
          <w:cantSplit/>
        </w:trPr>
        <w:tc>
          <w:tcPr>
            <w:tcW w:type="dxa" w:w="691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As guests depart</w:t>
            </w:r>
          </w:p>
        </w:tc>
        <w:tc>
          <w:tcPr>
            <w:tcW w:type="dxa" w:w="5875"/>
            <w:vAlign w:val="top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Secure cards, gifts, personal items, and legal documents</w:t>
            </w:r>
            <w:r>
              <w:rPr>
                <w:rFonts w:ascii="Arial" w:hAnsi="Arial"/>
                <w:color w:val="5B6475"/>
                <w:sz w:val="15"/>
              </w:rPr>
              <w:br/>
              <w:t>Use the agreed secure location and document every handoff to the named recipient.</w:t>
            </w:r>
          </w:p>
        </w:tc>
        <w:tc>
          <w:tcPr>
            <w:tcW w:type="dxa" w:w="2044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assigned recipient</w:t>
            </w:r>
          </w:p>
        </w:tc>
      </w:tr>
      <w:tr>
        <w:trPr>
          <w:cantSplit/>
        </w:trPr>
        <w:tc>
          <w:tcPr>
            <w:tcW w:type="dxa" w:w="691"/>
            <w:vAlign w:val="top"/>
            <w:shd w:fill="F5F7FB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During strike</w:t>
            </w:r>
          </w:p>
        </w:tc>
        <w:tc>
          <w:tcPr>
            <w:tcW w:type="dxa" w:w="5875"/>
            <w:vAlign w:val="top"/>
            <w:shd w:fill="F5F7FB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Track vendor pickup, rental counts, leftovers, and trash</w:t>
            </w:r>
            <w:r>
              <w:rPr>
                <w:rFonts w:ascii="Arial" w:hAnsi="Arial"/>
                <w:color w:val="5B6475"/>
                <w:sz w:val="15"/>
              </w:rPr>
              <w:br/>
              <w:t>Photograph unresolved items and use only approved overnight or follow-up pickup plans.</w:t>
            </w:r>
          </w:p>
        </w:tc>
        <w:tc>
          <w:tcPr>
            <w:tcW w:type="dxa" w:w="2044"/>
            <w:vAlign w:val="top"/>
            <w:shd w:fill="F5F7FB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venue / strike leads</w:t>
            </w:r>
          </w:p>
        </w:tc>
      </w:tr>
      <w:tr>
        <w:trPr>
          <w:cantSplit/>
        </w:trPr>
        <w:tc>
          <w:tcPr>
            <w:tcW w:type="dxa" w:w="691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Before leaving</w:t>
            </w:r>
          </w:p>
        </w:tc>
        <w:tc>
          <w:tcPr>
            <w:tcW w:type="dxa" w:w="5875"/>
            <w:vAlign w:val="top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Complete the final venue sweep and key handoff</w:t>
            </w:r>
            <w:r>
              <w:rPr>
                <w:rFonts w:ascii="Arial" w:hAnsi="Arial"/>
                <w:color w:val="5B6475"/>
                <w:sz w:val="15"/>
              </w:rPr>
              <w:br/>
              <w:t>Check every room, vehicle, loading area, storage point, payment handoff, key, and incident note.</w:t>
            </w:r>
          </w:p>
        </w:tc>
        <w:tc>
          <w:tcPr>
            <w:tcW w:type="dxa" w:w="2044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 / venue</w:t>
            </w:r>
          </w:p>
        </w:tc>
      </w:tr>
    </w:tbl>
    <w:p>
      <w:pPr>
        <w:spacing w:after="0"/>
      </w:pPr>
    </w:p>
    <w:p>
      <w:pPr>
        <w:pStyle w:val="Heading1"/>
      </w:pPr>
      <w:r>
        <w:t>After the wedding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"/>
        <w:gridCol w:w="1512"/>
        <w:gridCol w:w="5875"/>
        <w:gridCol w:w="2045"/>
      </w:tblGrid>
      <w:tr>
        <w:trPr>
          <w:tblHeader w:val="true"/>
        </w:trPr>
        <w:tc>
          <w:tcPr>
            <w:tcW w:type="dxa" w:w="691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Done</w:t>
            </w:r>
          </w:p>
        </w:tc>
        <w:tc>
          <w:tcPr>
            <w:tcW w:type="dxa" w:w="1512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When</w:t>
            </w:r>
          </w:p>
        </w:tc>
        <w:tc>
          <w:tcPr>
            <w:tcW w:type="dxa" w:w="5875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Task + confirmation note</w:t>
            </w:r>
          </w:p>
        </w:tc>
        <w:tc>
          <w:tcPr>
            <w:tcW w:type="dxa" w:w="2044"/>
            <w:vAlign w:val="top"/>
            <w:shd w:fill="1E293B"/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Owner</w:t>
            </w:r>
          </w:p>
        </w:tc>
      </w:tr>
      <w:tr>
        <w:trPr>
          <w:cantSplit/>
        </w:trPr>
        <w:tc>
          <w:tcPr>
            <w:tcW w:type="dxa" w:w="691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72033"/>
                <w:sz w:val="18"/>
              </w:rPr>
              <w:t>[  ]</w:t>
            </w:r>
          </w:p>
        </w:tc>
        <w:tc>
          <w:tcPr>
            <w:tcW w:type="dxa" w:w="151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Next business day</w:t>
            </w:r>
          </w:p>
        </w:tc>
        <w:tc>
          <w:tcPr>
            <w:tcW w:type="dxa" w:w="5875"/>
            <w:vAlign w:val="top"/>
          </w:tcPr>
          <w:p>
            <w:pPr>
              <w:spacing w:after="0" w:line="252" w:lineRule="auto"/>
            </w:pPr>
            <w:r/>
            <w:r>
              <w:rPr>
                <w:rFonts w:ascii="Arial" w:hAnsi="Arial"/>
                <w:b/>
                <w:color w:val="172033"/>
                <w:sz w:val="16"/>
              </w:rPr>
              <w:t>Send the couple a concise closeout report</w:t>
            </w:r>
            <w:r>
              <w:rPr>
                <w:rFonts w:ascii="Arial" w:hAnsi="Arial"/>
                <w:color w:val="5B6475"/>
                <w:sz w:val="15"/>
              </w:rPr>
              <w:br/>
              <w:t>List completed returns, receipts, damages, lost items, unresolved vendor issues, and required follow-up.</w:t>
            </w:r>
          </w:p>
        </w:tc>
        <w:tc>
          <w:tcPr>
            <w:tcW w:type="dxa" w:w="2044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  <w:t>Coordinator</w:t>
            </w:r>
          </w:p>
        </w:tc>
      </w:tr>
    </w:tbl>
    <w:p>
      <w:pPr>
        <w:spacing w:after="0"/>
      </w:pPr>
    </w:p>
    <w:p>
      <w:r>
        <w:rPr>
          <w:b/>
        </w:rPr>
        <w:t xml:space="preserve">Turn the confirmed plan into a live timeline: </w:t>
      </w:r>
      <w:hyperlink r:id="rId11">
        <w:r>
          <w:rPr>
            <w:color w:val="1E293B"/>
            <w:u w:val="single"/>
          </w:rPr>
          <w:t>geteventsync.app/free/timeline-builder</w:t>
        </w:r>
      </w:hyperlink>
    </w:p>
    <w:p>
      <w:pPr>
        <w:pStyle w:val="Heading1"/>
      </w:pPr>
      <w:r>
        <w:t>Decision log / follow-up notes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84"/>
        <w:gridCol w:w="6120"/>
        <w:gridCol w:w="2376"/>
      </w:tblGrid>
      <w:tr>
        <w:trPr>
          <w:tblHeader w:val="true"/>
        </w:trPr>
        <w:tc>
          <w:tcPr>
            <w:tcW w:type="dxa" w:w="1584"/>
            <w:vAlign w:val="top"/>
            <w:shd w:fill="1E293B"/>
            <w:tcBorders>
              <w:top w:val="single" w:sz="4" w:space="0" w:color="D9E0EA"/>
              <w:left w:val="single" w:sz="4" w:space="0" w:color="D9E0EA"/>
              <w:bottom w:val="single" w:sz="4" w:space="0" w:color="D9E0EA"/>
              <w:right w:val="single" w:sz="4" w:space="0" w:color="D9E0EA"/>
            </w:tcBorders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When</w:t>
            </w:r>
          </w:p>
        </w:tc>
        <w:tc>
          <w:tcPr>
            <w:tcW w:type="dxa" w:w="6120"/>
            <w:vAlign w:val="top"/>
            <w:shd w:fill="1E293B"/>
            <w:tcBorders>
              <w:top w:val="single" w:sz="4" w:space="0" w:color="D9E0EA"/>
              <w:left w:val="single" w:sz="4" w:space="0" w:color="D9E0EA"/>
              <w:bottom w:val="single" w:sz="4" w:space="0" w:color="D9E0EA"/>
              <w:right w:val="single" w:sz="4" w:space="0" w:color="D9E0EA"/>
            </w:tcBorders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Change, incident, or follow-up</w:t>
            </w:r>
          </w:p>
        </w:tc>
        <w:tc>
          <w:tcPr>
            <w:tcW w:type="dxa" w:w="2376"/>
            <w:vAlign w:val="top"/>
            <w:shd w:fill="1E293B"/>
            <w:tcBorders>
              <w:top w:val="single" w:sz="4" w:space="0" w:color="D9E0EA"/>
              <w:left w:val="single" w:sz="4" w:space="0" w:color="D9E0EA"/>
              <w:bottom w:val="single" w:sz="4" w:space="0" w:color="D9E0EA"/>
              <w:right w:val="single" w:sz="4" w:space="0" w:color="D9E0EA"/>
            </w:tcBorders>
          </w:tcPr>
          <w:p>
            <w:pPr>
              <w:spacing w:after="0"/>
            </w:pPr>
            <w:r>
              <w:rPr>
                <w:b/>
                <w:color w:val="FFFFFF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Approved / assigned to</w:t>
            </w:r>
          </w:p>
        </w:tc>
      </w:tr>
      <w:tr>
        <w:trPr>
          <w:trHeight w:val="662" w:hRule="exact"/>
          <w:cantSplit/>
        </w:trPr>
        <w:tc>
          <w:tcPr>
            <w:tcW w:type="dxa" w:w="1584"/>
            <w:vAlign w:val="top"/>
            <w:tcBorders>
              <w:top w:val="single" w:sz="4" w:space="0" w:color="D9E0EA"/>
              <w:left w:val="single" w:sz="4" w:space="0" w:color="D9E0EA"/>
              <w:bottom w:val="single" w:sz="4" w:space="0" w:color="D9E0EA"/>
              <w:right w:val="single" w:sz="4" w:space="0" w:color="D9E0E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  <w:tc>
          <w:tcPr>
            <w:tcW w:type="dxa" w:w="6120"/>
            <w:vAlign w:val="top"/>
            <w:tcBorders>
              <w:top w:val="single" w:sz="4" w:space="0" w:color="D9E0EA"/>
              <w:left w:val="single" w:sz="4" w:space="0" w:color="D9E0EA"/>
              <w:bottom w:val="single" w:sz="4" w:space="0" w:color="D9E0EA"/>
              <w:right w:val="single" w:sz="4" w:space="0" w:color="D9E0E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  <w:tc>
          <w:tcPr>
            <w:tcW w:type="dxa" w:w="2376"/>
            <w:vAlign w:val="top"/>
            <w:tcBorders>
              <w:top w:val="single" w:sz="4" w:space="0" w:color="D9E0EA"/>
              <w:left w:val="single" w:sz="4" w:space="0" w:color="D9E0EA"/>
              <w:bottom w:val="single" w:sz="4" w:space="0" w:color="D9E0EA"/>
              <w:right w:val="single" w:sz="4" w:space="0" w:color="D9E0E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</w:tr>
      <w:tr>
        <w:trPr>
          <w:trHeight w:val="662" w:hRule="exact"/>
          <w:cantSplit/>
        </w:trPr>
        <w:tc>
          <w:tcPr>
            <w:tcW w:type="dxa" w:w="1584"/>
            <w:vAlign w:val="top"/>
            <w:shd w:fill="F5F7FB"/>
            <w:tcBorders>
              <w:top w:val="single" w:sz="4" w:space="0" w:color="D9E0EA"/>
              <w:left w:val="single" w:sz="4" w:space="0" w:color="D9E0EA"/>
              <w:bottom w:val="single" w:sz="4" w:space="0" w:color="D9E0EA"/>
              <w:right w:val="single" w:sz="4" w:space="0" w:color="D9E0E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  <w:tc>
          <w:tcPr>
            <w:tcW w:type="dxa" w:w="6120"/>
            <w:vAlign w:val="top"/>
            <w:shd w:fill="F5F7FB"/>
            <w:tcBorders>
              <w:top w:val="single" w:sz="4" w:space="0" w:color="D9E0EA"/>
              <w:left w:val="single" w:sz="4" w:space="0" w:color="D9E0EA"/>
              <w:bottom w:val="single" w:sz="4" w:space="0" w:color="D9E0EA"/>
              <w:right w:val="single" w:sz="4" w:space="0" w:color="D9E0E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  <w:tc>
          <w:tcPr>
            <w:tcW w:type="dxa" w:w="2376"/>
            <w:vAlign w:val="top"/>
            <w:shd w:fill="F5F7FB"/>
            <w:tcBorders>
              <w:top w:val="single" w:sz="4" w:space="0" w:color="D9E0EA"/>
              <w:left w:val="single" w:sz="4" w:space="0" w:color="D9E0EA"/>
              <w:bottom w:val="single" w:sz="4" w:space="0" w:color="D9E0EA"/>
              <w:right w:val="single" w:sz="4" w:space="0" w:color="D9E0E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</w:tr>
      <w:tr>
        <w:trPr>
          <w:trHeight w:val="662" w:hRule="exact"/>
          <w:cantSplit/>
        </w:trPr>
        <w:tc>
          <w:tcPr>
            <w:tcW w:type="dxa" w:w="1584"/>
            <w:vAlign w:val="top"/>
            <w:tcBorders>
              <w:top w:val="single" w:sz="4" w:space="0" w:color="D9E0EA"/>
              <w:left w:val="single" w:sz="4" w:space="0" w:color="D9E0EA"/>
              <w:bottom w:val="single" w:sz="4" w:space="0" w:color="D9E0EA"/>
              <w:right w:val="single" w:sz="4" w:space="0" w:color="D9E0E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  <w:tc>
          <w:tcPr>
            <w:tcW w:type="dxa" w:w="6120"/>
            <w:vAlign w:val="top"/>
            <w:tcBorders>
              <w:top w:val="single" w:sz="4" w:space="0" w:color="D9E0EA"/>
              <w:left w:val="single" w:sz="4" w:space="0" w:color="D9E0EA"/>
              <w:bottom w:val="single" w:sz="4" w:space="0" w:color="D9E0EA"/>
              <w:right w:val="single" w:sz="4" w:space="0" w:color="D9E0E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  <w:tc>
          <w:tcPr>
            <w:tcW w:type="dxa" w:w="2376"/>
            <w:vAlign w:val="top"/>
            <w:tcBorders>
              <w:top w:val="single" w:sz="4" w:space="0" w:color="D9E0EA"/>
              <w:left w:val="single" w:sz="4" w:space="0" w:color="D9E0EA"/>
              <w:bottom w:val="single" w:sz="4" w:space="0" w:color="D9E0EA"/>
              <w:right w:val="single" w:sz="4" w:space="0" w:color="D9E0E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</w:tr>
      <w:tr>
        <w:trPr>
          <w:trHeight w:val="662" w:hRule="exact"/>
          <w:cantSplit/>
        </w:trPr>
        <w:tc>
          <w:tcPr>
            <w:tcW w:type="dxa" w:w="1584"/>
            <w:vAlign w:val="top"/>
            <w:shd w:fill="F5F7FB"/>
            <w:tcBorders>
              <w:top w:val="single" w:sz="4" w:space="0" w:color="D9E0EA"/>
              <w:left w:val="single" w:sz="4" w:space="0" w:color="D9E0EA"/>
              <w:bottom w:val="single" w:sz="4" w:space="0" w:color="D9E0EA"/>
              <w:right w:val="single" w:sz="4" w:space="0" w:color="D9E0E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  <w:tc>
          <w:tcPr>
            <w:tcW w:type="dxa" w:w="6120"/>
            <w:vAlign w:val="top"/>
            <w:shd w:fill="F5F7FB"/>
            <w:tcBorders>
              <w:top w:val="single" w:sz="4" w:space="0" w:color="D9E0EA"/>
              <w:left w:val="single" w:sz="4" w:space="0" w:color="D9E0EA"/>
              <w:bottom w:val="single" w:sz="4" w:space="0" w:color="D9E0EA"/>
              <w:right w:val="single" w:sz="4" w:space="0" w:color="D9E0E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  <w:tc>
          <w:tcPr>
            <w:tcW w:type="dxa" w:w="2376"/>
            <w:vAlign w:val="top"/>
            <w:shd w:fill="F5F7FB"/>
            <w:tcBorders>
              <w:top w:val="single" w:sz="4" w:space="0" w:color="D9E0EA"/>
              <w:left w:val="single" w:sz="4" w:space="0" w:color="D9E0EA"/>
              <w:bottom w:val="single" w:sz="4" w:space="0" w:color="D9E0EA"/>
              <w:right w:val="single" w:sz="4" w:space="0" w:color="D9E0E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</w:tr>
      <w:tr>
        <w:trPr>
          <w:trHeight w:val="662" w:hRule="exact"/>
          <w:cantSplit/>
        </w:trPr>
        <w:tc>
          <w:tcPr>
            <w:tcW w:type="dxa" w:w="1584"/>
            <w:vAlign w:val="top"/>
            <w:tcBorders>
              <w:top w:val="single" w:sz="4" w:space="0" w:color="D9E0EA"/>
              <w:left w:val="single" w:sz="4" w:space="0" w:color="D9E0EA"/>
              <w:bottom w:val="single" w:sz="4" w:space="0" w:color="D9E0EA"/>
              <w:right w:val="single" w:sz="4" w:space="0" w:color="D9E0E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  <w:tc>
          <w:tcPr>
            <w:tcW w:type="dxa" w:w="6120"/>
            <w:vAlign w:val="top"/>
            <w:tcBorders>
              <w:top w:val="single" w:sz="4" w:space="0" w:color="D9E0EA"/>
              <w:left w:val="single" w:sz="4" w:space="0" w:color="D9E0EA"/>
              <w:bottom w:val="single" w:sz="4" w:space="0" w:color="D9E0EA"/>
              <w:right w:val="single" w:sz="4" w:space="0" w:color="D9E0E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  <w:tc>
          <w:tcPr>
            <w:tcW w:type="dxa" w:w="2376"/>
            <w:vAlign w:val="top"/>
            <w:tcBorders>
              <w:top w:val="single" w:sz="4" w:space="0" w:color="D9E0EA"/>
              <w:left w:val="single" w:sz="4" w:space="0" w:color="D9E0EA"/>
              <w:bottom w:val="single" w:sz="4" w:space="0" w:color="D9E0EA"/>
              <w:right w:val="single" w:sz="4" w:space="0" w:color="D9E0E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</w:tr>
      <w:tr>
        <w:trPr>
          <w:trHeight w:val="662" w:hRule="exact"/>
          <w:cantSplit/>
        </w:trPr>
        <w:tc>
          <w:tcPr>
            <w:tcW w:type="dxa" w:w="1584"/>
            <w:vAlign w:val="top"/>
            <w:shd w:fill="F5F7FB"/>
            <w:tcBorders>
              <w:top w:val="single" w:sz="4" w:space="0" w:color="D9E0EA"/>
              <w:left w:val="single" w:sz="4" w:space="0" w:color="D9E0EA"/>
              <w:bottom w:val="single" w:sz="4" w:space="0" w:color="D9E0EA"/>
              <w:right w:val="single" w:sz="4" w:space="0" w:color="D9E0E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  <w:tc>
          <w:tcPr>
            <w:tcW w:type="dxa" w:w="6120"/>
            <w:vAlign w:val="top"/>
            <w:shd w:fill="F5F7FB"/>
            <w:tcBorders>
              <w:top w:val="single" w:sz="4" w:space="0" w:color="D9E0EA"/>
              <w:left w:val="single" w:sz="4" w:space="0" w:color="D9E0EA"/>
              <w:bottom w:val="single" w:sz="4" w:space="0" w:color="D9E0EA"/>
              <w:right w:val="single" w:sz="4" w:space="0" w:color="D9E0E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  <w:tc>
          <w:tcPr>
            <w:tcW w:type="dxa" w:w="2376"/>
            <w:vAlign w:val="top"/>
            <w:shd w:fill="F5F7FB"/>
            <w:tcBorders>
              <w:top w:val="single" w:sz="4" w:space="0" w:color="D9E0EA"/>
              <w:left w:val="single" w:sz="4" w:space="0" w:color="D9E0EA"/>
              <w:bottom w:val="single" w:sz="4" w:space="0" w:color="D9E0EA"/>
              <w:right w:val="single" w:sz="4" w:space="0" w:color="D9E0E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72033"/>
                <w:sz w:val="16"/>
              </w:rPr>
            </w:r>
          </w:p>
        </w:tc>
      </w:tr>
    </w:tbl>
    <w:sectPr>
      <w:footerReference w:type="default" r:id="rId9"/>
      <w:pgSz w:w="12240" w:h="15840"/>
      <w:pgMar w:top="648" w:right="792" w:bottom="749" w:left="792" w:header="173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right"/>
    </w:pPr>
    <w:r>
      <w:rPr>
        <w:rFonts w:ascii="Arial" w:hAnsi="Arial"/>
        <w:color w:val="5B6475"/>
        <w:sz w:val="15"/>
      </w:rPr>
      <w:t xml:space="preserve">EventSync Day-Of  |  geteventsync.app/free/timeline-builder  |  </w:t>
    </w:r>
    <w:r>
      <w:rPr>
        <w:rFonts w:ascii="Arial" w:hAnsi="Arial"/>
        <w:color w:val="5B6475"/>
        <w:sz w:val="15"/>
      </w:rPr>
      <w:t xml:space="preserve">Page </w:t>
      <w:fldChar w:fldCharType="begin"/>
      <w:instrText xml:space="preserve"> PAGE </w:instrText>
      <w:fldChar w:fldCharType="separate"/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17203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Georgia" w:hAnsi="Georgia"/>
      <w:b/>
      <w:bCs/>
      <w:color w:val="1E293B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Georgia" w:hAnsi="Georgia"/>
      <w:b/>
      <w:bCs/>
      <w:color w:val="1E293B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Georgia" w:hAnsi="Georgia"/>
      <w:b/>
      <w:color w:val="1E293B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geteventsync.app/free/timeline-build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Day-Of Wedding Coordinator Checklist</dc:title>
  <dc:subject>Editable hour-by-hour wedding coordinator checklist</dc:subject>
  <dc:creator/>
  <cp:keywords>wedding day, coordinator, timeline, EventSync Day-Of</cp:keywords>
  <dc:description>generated by python-docx</dc:description>
  <cp:lastModifiedBy/>
  <cp:revision>1</cp:revision>
  <dcterms:created xsi:type="dcterms:W3CDTF">2026-09-04T00:00:00Z</dcterms:created>
  <dcterms:modified xsi:type="dcterms:W3CDTF">2026-09-04T00:00:00Z</dcterms:modified>
  <cp:category/>
</cp:coreProperties>
</file>